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DF2FFD" w14:textId="41D792B8" w:rsidR="00FF4E99" w:rsidRPr="0064241D" w:rsidRDefault="00FF4E99" w:rsidP="003876FA">
      <w:pPr>
        <w:ind w:left="567"/>
        <w:jc w:val="center"/>
        <w:rPr>
          <w:rFonts w:ascii="Times New Roman" w:hAnsi="Times New Roman" w:cs="Times New Roman"/>
          <w:b/>
          <w:bCs/>
          <w:sz w:val="28"/>
          <w:szCs w:val="28"/>
        </w:rPr>
      </w:pPr>
      <w:r w:rsidRPr="0064241D">
        <w:rPr>
          <w:rFonts w:ascii="Times New Roman" w:hAnsi="Times New Roman" w:cs="Times New Roman"/>
          <w:b/>
          <w:bCs/>
          <w:sz w:val="28"/>
          <w:szCs w:val="28"/>
        </w:rPr>
        <w:t>L’Avantage en Nature Logement</w:t>
      </w:r>
    </w:p>
    <w:p w14:paraId="3C500BDA" w14:textId="77777777" w:rsidR="00FF4E99" w:rsidRDefault="00FF4E99" w:rsidP="003876FA">
      <w:pPr>
        <w:ind w:left="567"/>
        <w:rPr>
          <w:rFonts w:ascii="Times New Roman" w:hAnsi="Times New Roman" w:cs="Times New Roman"/>
          <w:sz w:val="24"/>
          <w:szCs w:val="24"/>
        </w:rPr>
      </w:pPr>
    </w:p>
    <w:p w14:paraId="5BB2D117" w14:textId="2C5F4B35" w:rsidR="003876FA" w:rsidRPr="003876FA" w:rsidRDefault="003876FA" w:rsidP="003876FA">
      <w:pPr>
        <w:pStyle w:val="Paragraphedeliste"/>
        <w:numPr>
          <w:ilvl w:val="0"/>
          <w:numId w:val="4"/>
        </w:numPr>
        <w:rPr>
          <w:rFonts w:ascii="Times New Roman" w:hAnsi="Times New Roman" w:cs="Times New Roman"/>
          <w:sz w:val="24"/>
          <w:szCs w:val="24"/>
        </w:rPr>
      </w:pPr>
      <w:r w:rsidRPr="003876FA">
        <w:rPr>
          <w:rFonts w:ascii="Times New Roman" w:hAnsi="Times New Roman" w:cs="Times New Roman"/>
          <w:b/>
          <w:bCs/>
          <w:sz w:val="24"/>
          <w:szCs w:val="24"/>
        </w:rPr>
        <w:t>L’évaluation de l’Avantage en Nature Logement</w:t>
      </w:r>
      <w:r w:rsidRPr="003876FA">
        <w:rPr>
          <w:rFonts w:ascii="Times New Roman" w:hAnsi="Times New Roman" w:cs="Times New Roman"/>
          <w:sz w:val="24"/>
          <w:szCs w:val="24"/>
        </w:rPr>
        <w:t xml:space="preserve">. </w:t>
      </w:r>
    </w:p>
    <w:p w14:paraId="2D3B685D" w14:textId="77777777" w:rsidR="003876FA" w:rsidRDefault="00846868" w:rsidP="003876FA">
      <w:pPr>
        <w:ind w:left="567"/>
        <w:rPr>
          <w:rFonts w:ascii="Times New Roman" w:hAnsi="Times New Roman" w:cs="Times New Roman"/>
          <w:sz w:val="24"/>
          <w:szCs w:val="24"/>
        </w:rPr>
      </w:pPr>
      <w:r w:rsidRPr="003876FA">
        <w:rPr>
          <w:rFonts w:ascii="Times New Roman" w:hAnsi="Times New Roman" w:cs="Times New Roman"/>
          <w:sz w:val="24"/>
          <w:szCs w:val="24"/>
        </w:rPr>
        <w:t xml:space="preserve">L’employeur </w:t>
      </w:r>
      <w:r w:rsidR="0064241D" w:rsidRPr="003876FA">
        <w:rPr>
          <w:rFonts w:ascii="Times New Roman" w:hAnsi="Times New Roman" w:cs="Times New Roman"/>
          <w:sz w:val="24"/>
          <w:szCs w:val="24"/>
        </w:rPr>
        <w:t xml:space="preserve">- </w:t>
      </w:r>
      <w:r w:rsidR="00723152" w:rsidRPr="003876FA">
        <w:rPr>
          <w:rFonts w:ascii="Times New Roman" w:hAnsi="Times New Roman" w:cs="Times New Roman"/>
          <w:sz w:val="24"/>
          <w:szCs w:val="24"/>
        </w:rPr>
        <w:t>qui peut revoir cette option en fin d’année</w:t>
      </w:r>
      <w:r w:rsidR="0064241D" w:rsidRPr="003876FA">
        <w:rPr>
          <w:rFonts w:ascii="Times New Roman" w:hAnsi="Times New Roman" w:cs="Times New Roman"/>
          <w:sz w:val="24"/>
          <w:szCs w:val="24"/>
        </w:rPr>
        <w:t xml:space="preserve"> - </w:t>
      </w:r>
      <w:r w:rsidRPr="003876FA">
        <w:rPr>
          <w:rFonts w:ascii="Times New Roman" w:hAnsi="Times New Roman" w:cs="Times New Roman"/>
          <w:sz w:val="24"/>
          <w:szCs w:val="24"/>
        </w:rPr>
        <w:t>a le choix entre évaluer l’avantage en nature logement</w:t>
      </w:r>
      <w:r w:rsidR="0064241D" w:rsidRPr="003876FA">
        <w:rPr>
          <w:rFonts w:ascii="Times New Roman" w:hAnsi="Times New Roman" w:cs="Times New Roman"/>
          <w:sz w:val="24"/>
          <w:szCs w:val="24"/>
        </w:rPr>
        <w:t> :</w:t>
      </w:r>
    </w:p>
    <w:p w14:paraId="4C8C2B67" w14:textId="3211D7C2" w:rsidR="00914435" w:rsidRPr="003876FA" w:rsidRDefault="003876FA" w:rsidP="003876FA">
      <w:pPr>
        <w:pStyle w:val="Paragraphedeliste"/>
        <w:numPr>
          <w:ilvl w:val="0"/>
          <w:numId w:val="6"/>
        </w:numPr>
        <w:rPr>
          <w:rFonts w:ascii="Times New Roman" w:hAnsi="Times New Roman" w:cs="Times New Roman"/>
          <w:sz w:val="24"/>
          <w:szCs w:val="24"/>
        </w:rPr>
      </w:pPr>
      <w:r w:rsidRPr="003876FA">
        <w:rPr>
          <w:rFonts w:ascii="Times New Roman" w:hAnsi="Times New Roman" w:cs="Times New Roman"/>
          <w:sz w:val="24"/>
          <w:szCs w:val="24"/>
        </w:rPr>
        <w:t xml:space="preserve"> </w:t>
      </w:r>
      <w:r w:rsidR="00846868" w:rsidRPr="003876FA">
        <w:rPr>
          <w:rFonts w:ascii="Times New Roman" w:hAnsi="Times New Roman" w:cs="Times New Roman"/>
          <w:sz w:val="24"/>
          <w:szCs w:val="24"/>
        </w:rPr>
        <w:t>d’apr</w:t>
      </w:r>
      <w:r w:rsidRPr="003876FA">
        <w:rPr>
          <w:rFonts w:ascii="Times New Roman" w:hAnsi="Times New Roman" w:cs="Times New Roman"/>
          <w:sz w:val="24"/>
          <w:szCs w:val="24"/>
        </w:rPr>
        <w:t>è</w:t>
      </w:r>
      <w:r w:rsidR="00846868" w:rsidRPr="003876FA">
        <w:rPr>
          <w:rFonts w:ascii="Times New Roman" w:hAnsi="Times New Roman" w:cs="Times New Roman"/>
          <w:sz w:val="24"/>
          <w:szCs w:val="24"/>
        </w:rPr>
        <w:t xml:space="preserve">s sa </w:t>
      </w:r>
      <w:r w:rsidR="00846868" w:rsidRPr="003876FA">
        <w:rPr>
          <w:rFonts w:ascii="Times New Roman" w:hAnsi="Times New Roman" w:cs="Times New Roman"/>
          <w:b/>
          <w:bCs/>
          <w:sz w:val="24"/>
          <w:szCs w:val="24"/>
        </w:rPr>
        <w:t>valeur locative</w:t>
      </w:r>
      <w:r w:rsidR="00914435" w:rsidRPr="003876FA">
        <w:rPr>
          <w:rFonts w:ascii="Times New Roman" w:hAnsi="Times New Roman" w:cs="Times New Roman"/>
          <w:b/>
          <w:bCs/>
          <w:sz w:val="24"/>
          <w:szCs w:val="24"/>
        </w:rPr>
        <w:t xml:space="preserve"> </w:t>
      </w:r>
    </w:p>
    <w:p w14:paraId="627526FB" w14:textId="1423332D" w:rsidR="00FF4E99" w:rsidRDefault="00914435" w:rsidP="003876FA">
      <w:pPr>
        <w:ind w:left="927"/>
        <w:jc w:val="both"/>
        <w:rPr>
          <w:rFonts w:ascii="Times New Roman" w:hAnsi="Times New Roman" w:cs="Times New Roman"/>
          <w:sz w:val="24"/>
          <w:szCs w:val="24"/>
        </w:rPr>
      </w:pPr>
      <w:r w:rsidRPr="00723152">
        <w:rPr>
          <w:rFonts w:ascii="Times New Roman" w:hAnsi="Times New Roman" w:cs="Times New Roman"/>
          <w:sz w:val="24"/>
          <w:szCs w:val="24"/>
        </w:rPr>
        <w:t xml:space="preserve">Il faut se référer à l’évaluation locative servant à l’établissement de la taxe d’habitation </w:t>
      </w:r>
      <w:r w:rsidR="00723152" w:rsidRPr="00723152">
        <w:rPr>
          <w:rFonts w:ascii="Times New Roman" w:hAnsi="Times New Roman" w:cs="Times New Roman"/>
          <w:sz w:val="24"/>
          <w:szCs w:val="24"/>
        </w:rPr>
        <w:t>–</w:t>
      </w:r>
      <w:r w:rsidRPr="00723152">
        <w:rPr>
          <w:rFonts w:ascii="Times New Roman" w:hAnsi="Times New Roman" w:cs="Times New Roman"/>
          <w:sz w:val="24"/>
          <w:szCs w:val="24"/>
        </w:rPr>
        <w:t xml:space="preserve"> </w:t>
      </w:r>
      <w:r w:rsidR="00723152" w:rsidRPr="00723152">
        <w:rPr>
          <w:rFonts w:ascii="Times New Roman" w:hAnsi="Times New Roman" w:cs="Times New Roman"/>
          <w:sz w:val="24"/>
          <w:szCs w:val="24"/>
        </w:rPr>
        <w:t xml:space="preserve">la </w:t>
      </w:r>
      <w:r w:rsidRPr="00723152">
        <w:rPr>
          <w:rFonts w:ascii="Times New Roman" w:hAnsi="Times New Roman" w:cs="Times New Roman"/>
          <w:sz w:val="24"/>
          <w:szCs w:val="24"/>
        </w:rPr>
        <w:t>valeur locative cadastrale- qui est revalorisée chaque année par application d’un coefficient. Le coefficient de revalorisation pour 2023 est fixé à 1,071</w:t>
      </w:r>
      <w:r w:rsidR="005A7249">
        <w:rPr>
          <w:rFonts w:ascii="Times New Roman" w:hAnsi="Times New Roman" w:cs="Times New Roman"/>
          <w:sz w:val="24"/>
          <w:szCs w:val="24"/>
        </w:rPr>
        <w:t xml:space="preserve"> </w:t>
      </w:r>
      <w:r w:rsidR="00BA023F">
        <w:rPr>
          <w:rFonts w:ascii="Times New Roman" w:hAnsi="Times New Roman" w:cs="Times New Roman"/>
          <w:sz w:val="24"/>
          <w:szCs w:val="24"/>
        </w:rPr>
        <w:t>-</w:t>
      </w:r>
      <w:r w:rsidR="005A7249">
        <w:rPr>
          <w:rFonts w:ascii="Times New Roman" w:hAnsi="Times New Roman" w:cs="Times New Roman"/>
          <w:sz w:val="24"/>
          <w:szCs w:val="24"/>
        </w:rPr>
        <w:t xml:space="preserve"> 1,039 en 2024</w:t>
      </w:r>
      <w:r w:rsidR="00BA023F">
        <w:rPr>
          <w:rFonts w:ascii="Times New Roman" w:hAnsi="Times New Roman" w:cs="Times New Roman"/>
          <w:sz w:val="24"/>
          <w:szCs w:val="24"/>
        </w:rPr>
        <w:t xml:space="preserve"> et 1,017 en 2025.</w:t>
      </w:r>
    </w:p>
    <w:p w14:paraId="05591C1C" w14:textId="4FBEB6BC" w:rsidR="00914435" w:rsidRPr="00723152" w:rsidRDefault="00914435" w:rsidP="003876FA">
      <w:pPr>
        <w:ind w:left="786" w:firstLine="141"/>
        <w:jc w:val="both"/>
        <w:rPr>
          <w:rFonts w:ascii="Times New Roman" w:hAnsi="Times New Roman" w:cs="Times New Roman"/>
          <w:sz w:val="24"/>
          <w:szCs w:val="24"/>
        </w:rPr>
      </w:pPr>
      <w:r w:rsidRPr="00723152">
        <w:rPr>
          <w:rFonts w:ascii="Times New Roman" w:hAnsi="Times New Roman" w:cs="Times New Roman"/>
          <w:sz w:val="24"/>
          <w:szCs w:val="24"/>
        </w:rPr>
        <w:t>La valeur locative réelle du logement peut être retenue</w:t>
      </w:r>
    </w:p>
    <w:p w14:paraId="4C9F97E4" w14:textId="3C29A42A" w:rsidR="00914435" w:rsidRPr="003876FA" w:rsidRDefault="003876FA" w:rsidP="003876FA">
      <w:pPr>
        <w:pStyle w:val="Paragraphedeliste"/>
        <w:numPr>
          <w:ilvl w:val="0"/>
          <w:numId w:val="5"/>
        </w:numPr>
        <w:ind w:hanging="217"/>
        <w:rPr>
          <w:rFonts w:ascii="Times New Roman" w:hAnsi="Times New Roman" w:cs="Times New Roman"/>
          <w:sz w:val="24"/>
          <w:szCs w:val="24"/>
        </w:rPr>
      </w:pPr>
      <w:r>
        <w:rPr>
          <w:rFonts w:ascii="Times New Roman" w:hAnsi="Times New Roman" w:cs="Times New Roman"/>
          <w:sz w:val="24"/>
          <w:szCs w:val="24"/>
        </w:rPr>
        <w:t xml:space="preserve">   </w:t>
      </w:r>
      <w:r w:rsidR="00846868" w:rsidRPr="003876FA">
        <w:rPr>
          <w:rFonts w:ascii="Times New Roman" w:hAnsi="Times New Roman" w:cs="Times New Roman"/>
          <w:sz w:val="24"/>
          <w:szCs w:val="24"/>
        </w:rPr>
        <w:t xml:space="preserve">et sur la base d’un </w:t>
      </w:r>
      <w:r w:rsidR="00846868" w:rsidRPr="003876FA">
        <w:rPr>
          <w:rFonts w:ascii="Times New Roman" w:hAnsi="Times New Roman" w:cs="Times New Roman"/>
          <w:b/>
          <w:bCs/>
          <w:sz w:val="24"/>
          <w:szCs w:val="24"/>
        </w:rPr>
        <w:t>forfait mensuel.</w:t>
      </w:r>
    </w:p>
    <w:p w14:paraId="6835FFF6" w14:textId="5F7090EF" w:rsidR="001E1861" w:rsidRDefault="001E1861" w:rsidP="003876FA">
      <w:pPr>
        <w:ind w:left="567"/>
        <w:jc w:val="both"/>
        <w:rPr>
          <w:rFonts w:ascii="Times New Roman" w:hAnsi="Times New Roman" w:cs="Times New Roman"/>
          <w:sz w:val="24"/>
          <w:szCs w:val="24"/>
        </w:rPr>
      </w:pPr>
      <w:r w:rsidRPr="00914435">
        <w:rPr>
          <w:rFonts w:ascii="Times New Roman" w:hAnsi="Times New Roman" w:cs="Times New Roman"/>
          <w:sz w:val="24"/>
          <w:szCs w:val="24"/>
        </w:rPr>
        <w:t xml:space="preserve">L’évaluation forfaitaire </w:t>
      </w:r>
      <w:r w:rsidR="00723152">
        <w:rPr>
          <w:rFonts w:ascii="Times New Roman" w:hAnsi="Times New Roman" w:cs="Times New Roman"/>
          <w:sz w:val="24"/>
          <w:szCs w:val="24"/>
        </w:rPr>
        <w:t>(</w:t>
      </w:r>
      <w:proofErr w:type="spellStart"/>
      <w:r w:rsidR="00723152">
        <w:rPr>
          <w:rFonts w:ascii="Times New Roman" w:hAnsi="Times New Roman" w:cs="Times New Roman"/>
          <w:sz w:val="24"/>
          <w:szCs w:val="24"/>
        </w:rPr>
        <w:t>cf</w:t>
      </w:r>
      <w:proofErr w:type="spellEnd"/>
      <w:r w:rsidR="00723152">
        <w:rPr>
          <w:rFonts w:ascii="Times New Roman" w:hAnsi="Times New Roman" w:cs="Times New Roman"/>
          <w:sz w:val="24"/>
          <w:szCs w:val="24"/>
        </w:rPr>
        <w:t xml:space="preserve"> tableau ci-dessous) </w:t>
      </w:r>
      <w:r w:rsidRPr="00914435">
        <w:rPr>
          <w:rFonts w:ascii="Times New Roman" w:hAnsi="Times New Roman" w:cs="Times New Roman"/>
          <w:sz w:val="24"/>
          <w:szCs w:val="24"/>
        </w:rPr>
        <w:t>varie selon le nombre de pièces</w:t>
      </w:r>
      <w:r w:rsidR="00A56F4B">
        <w:rPr>
          <w:rFonts w:ascii="Times New Roman" w:hAnsi="Times New Roman" w:cs="Times New Roman"/>
          <w:sz w:val="24"/>
          <w:szCs w:val="24"/>
        </w:rPr>
        <w:t xml:space="preserve"> principales</w:t>
      </w:r>
      <w:r w:rsidRPr="00914435">
        <w:rPr>
          <w:rFonts w:ascii="Times New Roman" w:hAnsi="Times New Roman" w:cs="Times New Roman"/>
          <w:sz w:val="24"/>
          <w:szCs w:val="24"/>
        </w:rPr>
        <w:t xml:space="preserve"> du logement et selon le niveau de salaire du bénéficiaire de l’avantage en nature. Il s’agit d’une évaluation minimale</w:t>
      </w:r>
    </w:p>
    <w:p w14:paraId="4EA4E095" w14:textId="70E3349E" w:rsidR="00A56F4B" w:rsidRDefault="00A56F4B" w:rsidP="003876FA">
      <w:pPr>
        <w:pStyle w:val="Standard"/>
        <w:spacing w:before="28" w:after="28" w:line="240" w:lineRule="auto"/>
        <w:ind w:left="567"/>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Par « pièces principales », il faut entendre celles qui sont destinées au séjour et au sommeil, éventuellement des chambres isolées. Il faut ignorer les pièces </w:t>
      </w:r>
      <w:r>
        <w:rPr>
          <w:rFonts w:ascii="Times New Roman" w:eastAsia="Times New Roman" w:hAnsi="Times New Roman" w:cs="Times New Roman"/>
          <w:sz w:val="24"/>
          <w:szCs w:val="24"/>
          <w:lang w:eastAsia="fr-FR"/>
        </w:rPr>
        <w:tab/>
        <w:t>de service (cuisines, salle d’eau, etc.).</w:t>
      </w:r>
    </w:p>
    <w:p w14:paraId="12A7ECD2" w14:textId="77777777" w:rsidR="00A56F4B" w:rsidRDefault="00A56F4B" w:rsidP="003876FA">
      <w:pPr>
        <w:pStyle w:val="Standard"/>
        <w:spacing w:before="28" w:after="28" w:line="240" w:lineRule="auto"/>
        <w:ind w:left="567"/>
        <w:jc w:val="both"/>
      </w:pPr>
    </w:p>
    <w:p w14:paraId="2857D1F9" w14:textId="6AF0D0F3" w:rsidR="001E1861" w:rsidRDefault="003876FA" w:rsidP="003876FA">
      <w:pPr>
        <w:ind w:left="567"/>
        <w:jc w:val="both"/>
        <w:rPr>
          <w:rFonts w:ascii="Times New Roman" w:hAnsi="Times New Roman" w:cs="Times New Roman"/>
          <w:sz w:val="24"/>
          <w:szCs w:val="24"/>
        </w:rPr>
      </w:pPr>
      <w:r>
        <w:rPr>
          <w:rFonts w:ascii="Times New Roman" w:hAnsi="Times New Roman" w:cs="Times New Roman"/>
          <w:sz w:val="24"/>
          <w:szCs w:val="24"/>
        </w:rPr>
        <w:t>L’évaluation forfaitaire</w:t>
      </w:r>
      <w:r w:rsidR="001E1861" w:rsidRPr="00914435">
        <w:rPr>
          <w:rFonts w:ascii="Times New Roman" w:hAnsi="Times New Roman" w:cs="Times New Roman"/>
          <w:sz w:val="24"/>
          <w:szCs w:val="24"/>
        </w:rPr>
        <w:t xml:space="preserve"> peut être remplacée par une évaluation supérieure par convention ou accord collectif, ou par accord entre l’employeur et le salarié</w:t>
      </w:r>
      <w:r w:rsidR="00A56F4B">
        <w:rPr>
          <w:rFonts w:ascii="Times New Roman" w:hAnsi="Times New Roman" w:cs="Times New Roman"/>
          <w:sz w:val="24"/>
          <w:szCs w:val="24"/>
        </w:rPr>
        <w:t>.</w:t>
      </w:r>
    </w:p>
    <w:p w14:paraId="718F0056" w14:textId="4C1F04DD" w:rsidR="001E1861" w:rsidRDefault="001E1861" w:rsidP="003876FA">
      <w:pPr>
        <w:ind w:left="567"/>
        <w:jc w:val="both"/>
        <w:rPr>
          <w:rFonts w:ascii="Times New Roman" w:hAnsi="Times New Roman" w:cs="Times New Roman"/>
          <w:sz w:val="24"/>
          <w:szCs w:val="24"/>
        </w:rPr>
      </w:pPr>
      <w:r w:rsidRPr="00723152">
        <w:rPr>
          <w:rFonts w:ascii="Times New Roman" w:hAnsi="Times New Roman" w:cs="Times New Roman"/>
          <w:sz w:val="24"/>
          <w:szCs w:val="24"/>
        </w:rPr>
        <w:t>L’avantage en nature logement est évalué par mois ou par semaine. L’évaluation par semaine est égale au quart du montant mensuel, arrondi à la dizaine de centimes d’euro la plus proche. En cas de mois incomplet, c’est le nombre de semaines complètes qui est pris en compte, dans la limite de 4 semaines.</w:t>
      </w:r>
    </w:p>
    <w:p w14:paraId="43FB18F5" w14:textId="611360EE" w:rsidR="00A56F4B" w:rsidRDefault="00A56F4B" w:rsidP="003876FA">
      <w:pPr>
        <w:pStyle w:val="Standard"/>
        <w:spacing w:before="28" w:after="28" w:line="240" w:lineRule="auto"/>
        <w:ind w:left="567"/>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L’évaluation forfaitaire intègre certains avantages accessoires (</w:t>
      </w:r>
      <w:r>
        <w:rPr>
          <w:rFonts w:ascii="Times New Roman" w:eastAsia="Times New Roman" w:hAnsi="Times New Roman" w:cs="Times New Roman"/>
          <w:b/>
          <w:sz w:val="24"/>
          <w:szCs w:val="24"/>
          <w:lang w:eastAsia="fr-FR"/>
        </w:rPr>
        <w:t>eau, gaz,</w:t>
      </w:r>
      <w:r w:rsidR="003876FA">
        <w:rPr>
          <w:rFonts w:ascii="Times New Roman" w:eastAsia="Times New Roman" w:hAnsi="Times New Roman" w:cs="Times New Roman"/>
          <w:b/>
          <w:sz w:val="24"/>
          <w:szCs w:val="24"/>
          <w:lang w:eastAsia="fr-FR"/>
        </w:rPr>
        <w:t xml:space="preserve"> </w:t>
      </w:r>
      <w:r>
        <w:rPr>
          <w:rFonts w:ascii="Times New Roman" w:eastAsia="Times New Roman" w:hAnsi="Times New Roman" w:cs="Times New Roman"/>
          <w:b/>
          <w:sz w:val="24"/>
          <w:szCs w:val="24"/>
          <w:lang w:eastAsia="fr-FR"/>
        </w:rPr>
        <w:t>électricité, garage</w:t>
      </w:r>
      <w:r>
        <w:rPr>
          <w:rFonts w:ascii="Times New Roman" w:eastAsia="Times New Roman" w:hAnsi="Times New Roman" w:cs="Times New Roman"/>
          <w:sz w:val="24"/>
          <w:szCs w:val="24"/>
          <w:lang w:eastAsia="fr-FR"/>
        </w:rPr>
        <w:t xml:space="preserve">). </w:t>
      </w:r>
    </w:p>
    <w:p w14:paraId="5752999A" w14:textId="77777777" w:rsidR="00A56F4B" w:rsidRDefault="00A56F4B" w:rsidP="003876FA">
      <w:pPr>
        <w:pStyle w:val="Standard"/>
        <w:spacing w:before="28" w:after="28" w:line="240" w:lineRule="auto"/>
        <w:ind w:left="567" w:firstLine="708"/>
        <w:rPr>
          <w:rFonts w:ascii="Times New Roman" w:eastAsia="Times New Roman" w:hAnsi="Times New Roman" w:cs="Times New Roman"/>
          <w:sz w:val="24"/>
          <w:szCs w:val="24"/>
          <w:lang w:eastAsia="fr-FR"/>
        </w:rPr>
      </w:pPr>
    </w:p>
    <w:p w14:paraId="4C324358" w14:textId="16237568" w:rsidR="00A56F4B" w:rsidRDefault="00A56F4B" w:rsidP="003876FA">
      <w:pPr>
        <w:pStyle w:val="Standard"/>
        <w:spacing w:before="28" w:after="28" w:line="240" w:lineRule="auto"/>
        <w:ind w:left="567"/>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Pour les salariés multi-employeurs, chaque employeur tient compte de la seule</w:t>
      </w:r>
      <w:r w:rsidR="003876FA">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rémunération versée dans son entreprise.</w:t>
      </w:r>
    </w:p>
    <w:p w14:paraId="0259DAF9" w14:textId="77777777" w:rsidR="00A56F4B" w:rsidRDefault="00A56F4B" w:rsidP="003876FA">
      <w:pPr>
        <w:pStyle w:val="Standard"/>
        <w:spacing w:before="28" w:after="28" w:line="240" w:lineRule="auto"/>
        <w:ind w:left="567" w:firstLine="708"/>
      </w:pPr>
    </w:p>
    <w:p w14:paraId="593A9D51" w14:textId="77777777" w:rsidR="00A56F4B" w:rsidRDefault="00A56F4B" w:rsidP="003876FA">
      <w:pPr>
        <w:ind w:left="567"/>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En cas d'absence tout un mois sans maintien de salaire, l'évaluation est fixée par référence à la première tranche du barème</w:t>
      </w:r>
    </w:p>
    <w:p w14:paraId="576A45EC" w14:textId="77777777" w:rsidR="003876FA" w:rsidRDefault="003876FA" w:rsidP="003876FA">
      <w:pPr>
        <w:pStyle w:val="Standard"/>
        <w:spacing w:before="28" w:after="28" w:line="240" w:lineRule="auto"/>
        <w:ind w:left="567"/>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Les salariés qui ne peuvent accomplir leur travail (sécurité, gardiennage, etc.) sans être logés dans les locaux où ils exercent leurs fonctions bénéficient d’un abattement pour sujétion de 30 % sur la valeur de l’avantage en nature dont ils bénéficient. </w:t>
      </w:r>
    </w:p>
    <w:p w14:paraId="31E64887" w14:textId="77777777" w:rsidR="003876FA" w:rsidRDefault="003876FA" w:rsidP="003876FA">
      <w:pPr>
        <w:pStyle w:val="Standard"/>
        <w:spacing w:before="28" w:after="28" w:line="240" w:lineRule="auto"/>
        <w:jc w:val="both"/>
        <w:rPr>
          <w:rFonts w:ascii="Times New Roman" w:eastAsia="Times New Roman" w:hAnsi="Times New Roman" w:cs="Times New Roman"/>
          <w:sz w:val="24"/>
          <w:szCs w:val="24"/>
          <w:lang w:eastAsia="fr-FR"/>
        </w:rPr>
      </w:pPr>
    </w:p>
    <w:p w14:paraId="3FBBDC70" w14:textId="782B5845" w:rsidR="003876FA" w:rsidRDefault="003876FA" w:rsidP="003876FA">
      <w:pPr>
        <w:pStyle w:val="Standard"/>
        <w:spacing w:before="28" w:after="28" w:line="240" w:lineRule="auto"/>
        <w:ind w:left="567"/>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Les dépenses engagées par l’employeur pour le compte du salarié pour les avantages accessoires (eau, gaz, électricité, chauffage, garage) ne peuvent se voir appliquer l’abattement de 30 %.</w:t>
      </w:r>
    </w:p>
    <w:p w14:paraId="20A70F1A" w14:textId="77777777" w:rsidR="00A56F4B" w:rsidRDefault="00A56F4B" w:rsidP="003876FA">
      <w:pPr>
        <w:ind w:left="567"/>
        <w:jc w:val="both"/>
        <w:rPr>
          <w:rFonts w:ascii="Times New Roman" w:hAnsi="Times New Roman" w:cs="Times New Roman"/>
          <w:sz w:val="24"/>
          <w:szCs w:val="24"/>
        </w:rPr>
      </w:pPr>
    </w:p>
    <w:p w14:paraId="7D5EC638" w14:textId="0024220A" w:rsidR="00A56F4B" w:rsidRPr="00723152" w:rsidRDefault="00A56F4B" w:rsidP="003876FA">
      <w:pPr>
        <w:ind w:left="567"/>
        <w:jc w:val="both"/>
        <w:rPr>
          <w:rFonts w:ascii="Times New Roman" w:hAnsi="Times New Roman" w:cs="Times New Roman"/>
          <w:sz w:val="24"/>
          <w:szCs w:val="24"/>
        </w:rPr>
      </w:pPr>
      <w:r>
        <w:rPr>
          <w:rFonts w:ascii="Times New Roman" w:eastAsia="Times New Roman" w:hAnsi="Times New Roman" w:cs="Times New Roman"/>
          <w:sz w:val="24"/>
          <w:szCs w:val="24"/>
          <w:lang w:eastAsia="fr-FR"/>
        </w:rPr>
        <w:t xml:space="preserve">Le choix </w:t>
      </w:r>
      <w:r w:rsidR="003876FA">
        <w:rPr>
          <w:rFonts w:ascii="Times New Roman" w:eastAsia="Times New Roman" w:hAnsi="Times New Roman" w:cs="Times New Roman"/>
          <w:sz w:val="24"/>
          <w:szCs w:val="24"/>
          <w:lang w:eastAsia="fr-FR"/>
        </w:rPr>
        <w:t xml:space="preserve">entre l’évaluation forfaitaire ou selon la valeur réelle </w:t>
      </w:r>
      <w:r>
        <w:rPr>
          <w:rFonts w:ascii="Times New Roman" w:eastAsia="Times New Roman" w:hAnsi="Times New Roman" w:cs="Times New Roman"/>
          <w:sz w:val="24"/>
          <w:szCs w:val="24"/>
          <w:lang w:eastAsia="fr-FR"/>
        </w:rPr>
        <w:t>est fait salarié par salarié</w:t>
      </w:r>
    </w:p>
    <w:p w14:paraId="02852E91" w14:textId="311ECF10" w:rsidR="003876FA" w:rsidRDefault="003876FA" w:rsidP="003876FA">
      <w:pPr>
        <w:ind w:left="567"/>
        <w:rPr>
          <w:rFonts w:ascii="Times New Roman" w:hAnsi="Times New Roman" w:cs="Times New Roman"/>
          <w:sz w:val="24"/>
          <w:szCs w:val="24"/>
        </w:rPr>
      </w:pPr>
      <w:r>
        <w:rPr>
          <w:rFonts w:ascii="Times New Roman" w:hAnsi="Times New Roman" w:cs="Times New Roman"/>
          <w:b/>
          <w:bCs/>
          <w:sz w:val="24"/>
          <w:szCs w:val="24"/>
        </w:rPr>
        <w:t xml:space="preserve">B) </w:t>
      </w:r>
      <w:r w:rsidR="00DE05B0" w:rsidRPr="003876FA">
        <w:rPr>
          <w:rFonts w:ascii="Times New Roman" w:hAnsi="Times New Roman" w:cs="Times New Roman"/>
          <w:b/>
          <w:bCs/>
          <w:sz w:val="24"/>
          <w:szCs w:val="24"/>
        </w:rPr>
        <w:t>Mandataires sociaux</w:t>
      </w:r>
      <w:r w:rsidR="00DE05B0">
        <w:rPr>
          <w:rFonts w:ascii="Times New Roman" w:hAnsi="Times New Roman" w:cs="Times New Roman"/>
          <w:sz w:val="24"/>
          <w:szCs w:val="24"/>
        </w:rPr>
        <w:t> </w:t>
      </w:r>
    </w:p>
    <w:p w14:paraId="1B5C0C21" w14:textId="19879C55" w:rsidR="00914435" w:rsidRPr="00914435" w:rsidRDefault="00846868" w:rsidP="003876FA">
      <w:pPr>
        <w:ind w:left="567"/>
        <w:rPr>
          <w:rFonts w:ascii="Times New Roman" w:hAnsi="Times New Roman" w:cs="Times New Roman"/>
          <w:b/>
          <w:bCs/>
          <w:sz w:val="24"/>
          <w:szCs w:val="24"/>
        </w:rPr>
      </w:pPr>
      <w:r w:rsidRPr="00914435">
        <w:rPr>
          <w:rFonts w:ascii="Times New Roman" w:hAnsi="Times New Roman" w:cs="Times New Roman"/>
          <w:sz w:val="24"/>
          <w:szCs w:val="24"/>
        </w:rPr>
        <w:t xml:space="preserve">Gérants minoritaires et égalitaires de SARL ou de SELARL, les </w:t>
      </w:r>
      <w:r w:rsidR="003876FA">
        <w:rPr>
          <w:rFonts w:ascii="Times New Roman" w:hAnsi="Times New Roman" w:cs="Times New Roman"/>
          <w:sz w:val="24"/>
          <w:szCs w:val="24"/>
        </w:rPr>
        <w:t>Pr</w:t>
      </w:r>
      <w:r w:rsidRPr="00914435">
        <w:rPr>
          <w:rFonts w:ascii="Times New Roman" w:hAnsi="Times New Roman" w:cs="Times New Roman"/>
          <w:sz w:val="24"/>
          <w:szCs w:val="24"/>
        </w:rPr>
        <w:t xml:space="preserve">ésidents et </w:t>
      </w:r>
      <w:r w:rsidR="003876FA">
        <w:rPr>
          <w:rFonts w:ascii="Times New Roman" w:hAnsi="Times New Roman" w:cs="Times New Roman"/>
          <w:sz w:val="24"/>
          <w:szCs w:val="24"/>
        </w:rPr>
        <w:t>D</w:t>
      </w:r>
      <w:r w:rsidRPr="00914435">
        <w:rPr>
          <w:rFonts w:ascii="Times New Roman" w:hAnsi="Times New Roman" w:cs="Times New Roman"/>
          <w:sz w:val="24"/>
          <w:szCs w:val="24"/>
        </w:rPr>
        <w:t xml:space="preserve">irecteurs </w:t>
      </w:r>
      <w:r w:rsidR="003876FA">
        <w:rPr>
          <w:rFonts w:ascii="Times New Roman" w:hAnsi="Times New Roman" w:cs="Times New Roman"/>
          <w:sz w:val="24"/>
          <w:szCs w:val="24"/>
        </w:rPr>
        <w:t>G</w:t>
      </w:r>
      <w:r w:rsidRPr="00914435">
        <w:rPr>
          <w:rFonts w:ascii="Times New Roman" w:hAnsi="Times New Roman" w:cs="Times New Roman"/>
          <w:sz w:val="24"/>
          <w:szCs w:val="24"/>
        </w:rPr>
        <w:t xml:space="preserve">énéraux de SA ou SELAFA et les </w:t>
      </w:r>
      <w:r w:rsidR="003876FA">
        <w:rPr>
          <w:rFonts w:ascii="Times New Roman" w:hAnsi="Times New Roman" w:cs="Times New Roman"/>
          <w:sz w:val="24"/>
          <w:szCs w:val="24"/>
        </w:rPr>
        <w:t>P</w:t>
      </w:r>
      <w:r w:rsidRPr="00914435">
        <w:rPr>
          <w:rFonts w:ascii="Times New Roman" w:hAnsi="Times New Roman" w:cs="Times New Roman"/>
          <w:sz w:val="24"/>
          <w:szCs w:val="24"/>
        </w:rPr>
        <w:t xml:space="preserve">résidents et </w:t>
      </w:r>
      <w:r w:rsidR="003876FA">
        <w:rPr>
          <w:rFonts w:ascii="Times New Roman" w:hAnsi="Times New Roman" w:cs="Times New Roman"/>
          <w:sz w:val="24"/>
          <w:szCs w:val="24"/>
        </w:rPr>
        <w:t>D</w:t>
      </w:r>
      <w:r w:rsidRPr="00914435">
        <w:rPr>
          <w:rFonts w:ascii="Times New Roman" w:hAnsi="Times New Roman" w:cs="Times New Roman"/>
          <w:sz w:val="24"/>
          <w:szCs w:val="24"/>
        </w:rPr>
        <w:t>irigeants de SAS :</w:t>
      </w:r>
      <w:r w:rsidR="00914435" w:rsidRPr="00914435">
        <w:rPr>
          <w:rFonts w:ascii="Times New Roman" w:hAnsi="Times New Roman" w:cs="Times New Roman"/>
          <w:sz w:val="24"/>
          <w:szCs w:val="24"/>
        </w:rPr>
        <w:t xml:space="preserve"> </w:t>
      </w:r>
      <w:r w:rsidRPr="00914435">
        <w:rPr>
          <w:rFonts w:ascii="Times New Roman" w:hAnsi="Times New Roman" w:cs="Times New Roman"/>
          <w:b/>
          <w:bCs/>
          <w:sz w:val="24"/>
          <w:szCs w:val="24"/>
        </w:rPr>
        <w:t>évaluation selon valeur réelle obligatoire</w:t>
      </w:r>
    </w:p>
    <w:p w14:paraId="20BFC06A" w14:textId="42DCA991" w:rsidR="00B27513" w:rsidRDefault="00914435" w:rsidP="003876FA">
      <w:pPr>
        <w:ind w:left="567"/>
        <w:rPr>
          <w:rFonts w:ascii="Times New Roman" w:hAnsi="Times New Roman" w:cs="Times New Roman"/>
          <w:sz w:val="24"/>
          <w:szCs w:val="24"/>
        </w:rPr>
      </w:pPr>
      <w:r w:rsidRPr="00914435">
        <w:rPr>
          <w:rFonts w:ascii="Times New Roman" w:hAnsi="Times New Roman" w:cs="Times New Roman"/>
          <w:sz w:val="24"/>
          <w:szCs w:val="24"/>
        </w:rPr>
        <w:t>E</w:t>
      </w:r>
      <w:r w:rsidR="00846868" w:rsidRPr="00914435">
        <w:rPr>
          <w:rFonts w:ascii="Times New Roman" w:hAnsi="Times New Roman" w:cs="Times New Roman"/>
          <w:sz w:val="24"/>
          <w:szCs w:val="24"/>
        </w:rPr>
        <w:t>n cas de c</w:t>
      </w:r>
      <w:r w:rsidR="00846868" w:rsidRPr="00914435">
        <w:rPr>
          <w:rFonts w:ascii="Times New Roman" w:hAnsi="Times New Roman" w:cs="Times New Roman"/>
          <w:b/>
          <w:bCs/>
          <w:sz w:val="24"/>
          <w:szCs w:val="24"/>
        </w:rPr>
        <w:t>umul du mandat social et d’un contrat de travail</w:t>
      </w:r>
      <w:r w:rsidR="00846868" w:rsidRPr="00914435">
        <w:rPr>
          <w:rFonts w:ascii="Times New Roman" w:hAnsi="Times New Roman" w:cs="Times New Roman"/>
          <w:sz w:val="24"/>
          <w:szCs w:val="24"/>
        </w:rPr>
        <w:t xml:space="preserve">, le logement fourni au titre du contrat de travail peut être évalué </w:t>
      </w:r>
      <w:r>
        <w:rPr>
          <w:rFonts w:ascii="Times New Roman" w:hAnsi="Times New Roman" w:cs="Times New Roman"/>
          <w:sz w:val="24"/>
          <w:szCs w:val="24"/>
        </w:rPr>
        <w:t>au choix (méthode forfaitaire ou réelle)</w:t>
      </w:r>
      <w:r w:rsidR="00846868" w:rsidRPr="00914435">
        <w:rPr>
          <w:rFonts w:ascii="Times New Roman" w:hAnsi="Times New Roman" w:cs="Times New Roman"/>
          <w:sz w:val="24"/>
          <w:szCs w:val="24"/>
        </w:rPr>
        <w:t xml:space="preserve"> en tenant compte de la seule rémunération brute correspondant au </w:t>
      </w:r>
      <w:r w:rsidRPr="00914435">
        <w:rPr>
          <w:rFonts w:ascii="Times New Roman" w:hAnsi="Times New Roman" w:cs="Times New Roman"/>
          <w:sz w:val="24"/>
          <w:szCs w:val="24"/>
        </w:rPr>
        <w:t xml:space="preserve">contrat de travail </w:t>
      </w:r>
    </w:p>
    <w:p w14:paraId="7497C62C" w14:textId="77777777" w:rsidR="005A7249" w:rsidRDefault="005A7249" w:rsidP="003876FA">
      <w:pPr>
        <w:ind w:left="567"/>
        <w:rPr>
          <w:rFonts w:ascii="Times New Roman" w:hAnsi="Times New Roman" w:cs="Times New Roman"/>
          <w:sz w:val="24"/>
          <w:szCs w:val="24"/>
        </w:rPr>
      </w:pPr>
    </w:p>
    <w:p w14:paraId="45A25E32" w14:textId="7EF69FCE" w:rsidR="00F61F59" w:rsidRDefault="00F61F59" w:rsidP="003876FA">
      <w:pPr>
        <w:ind w:left="567"/>
        <w:rPr>
          <w:rFonts w:ascii="Times New Roman" w:hAnsi="Times New Roman" w:cs="Times New Roman"/>
          <w:sz w:val="24"/>
          <w:szCs w:val="24"/>
        </w:rPr>
      </w:pPr>
      <w:r w:rsidRPr="00670BAB">
        <w:rPr>
          <w:rFonts w:ascii="Times New Roman" w:eastAsia="Times New Roman" w:hAnsi="Times New Roman" w:cs="Times New Roman"/>
          <w:noProof/>
          <w:sz w:val="24"/>
          <w:szCs w:val="24"/>
          <w:lang w:eastAsia="fr-FR"/>
        </w:rPr>
        <w:drawing>
          <wp:inline distT="0" distB="0" distL="0" distR="0" wp14:anchorId="565D9081" wp14:editId="6331FFB2">
            <wp:extent cx="5760720" cy="3166110"/>
            <wp:effectExtent l="0" t="0" r="0" b="0"/>
            <wp:docPr id="137514414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5144144" name=""/>
                    <pic:cNvPicPr/>
                  </pic:nvPicPr>
                  <pic:blipFill>
                    <a:blip r:embed="rId5"/>
                    <a:stretch>
                      <a:fillRect/>
                    </a:stretch>
                  </pic:blipFill>
                  <pic:spPr>
                    <a:xfrm>
                      <a:off x="0" y="0"/>
                      <a:ext cx="5760720" cy="3166110"/>
                    </a:xfrm>
                    <a:prstGeom prst="rect">
                      <a:avLst/>
                    </a:prstGeom>
                  </pic:spPr>
                </pic:pic>
              </a:graphicData>
            </a:graphic>
          </wp:inline>
        </w:drawing>
      </w:r>
    </w:p>
    <w:p w14:paraId="241DC124" w14:textId="753CADCA" w:rsidR="00F61F59" w:rsidRDefault="00F61F59" w:rsidP="003876FA">
      <w:pPr>
        <w:ind w:left="567"/>
        <w:rPr>
          <w:rFonts w:ascii="Times New Roman" w:hAnsi="Times New Roman" w:cs="Times New Roman"/>
          <w:sz w:val="24"/>
          <w:szCs w:val="24"/>
        </w:rPr>
      </w:pPr>
      <w:r w:rsidRPr="00670BAB">
        <w:rPr>
          <w:rFonts w:ascii="Times New Roman" w:eastAsia="Times New Roman" w:hAnsi="Times New Roman" w:cs="Times New Roman"/>
          <w:noProof/>
          <w:sz w:val="24"/>
          <w:szCs w:val="24"/>
          <w:lang w:eastAsia="fr-FR"/>
        </w:rPr>
        <w:drawing>
          <wp:inline distT="0" distB="0" distL="0" distR="0" wp14:anchorId="33E40376" wp14:editId="73FCA91B">
            <wp:extent cx="5760720" cy="1223645"/>
            <wp:effectExtent l="0" t="0" r="0" b="0"/>
            <wp:docPr id="114858573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8585739" name=""/>
                    <pic:cNvPicPr/>
                  </pic:nvPicPr>
                  <pic:blipFill>
                    <a:blip r:embed="rId6"/>
                    <a:stretch>
                      <a:fillRect/>
                    </a:stretch>
                  </pic:blipFill>
                  <pic:spPr>
                    <a:xfrm>
                      <a:off x="0" y="0"/>
                      <a:ext cx="5760720" cy="1223645"/>
                    </a:xfrm>
                    <a:prstGeom prst="rect">
                      <a:avLst/>
                    </a:prstGeom>
                  </pic:spPr>
                </pic:pic>
              </a:graphicData>
            </a:graphic>
          </wp:inline>
        </w:drawing>
      </w:r>
    </w:p>
    <w:p w14:paraId="75600040" w14:textId="2E5E172A" w:rsidR="00F61F59" w:rsidRDefault="00F61F59" w:rsidP="003876FA">
      <w:pPr>
        <w:ind w:left="567"/>
        <w:rPr>
          <w:rFonts w:ascii="Times New Roman" w:hAnsi="Times New Roman" w:cs="Times New Roman"/>
          <w:sz w:val="24"/>
          <w:szCs w:val="24"/>
        </w:rPr>
      </w:pPr>
    </w:p>
    <w:p w14:paraId="290133B4" w14:textId="14FA8C23" w:rsidR="00F61F59" w:rsidRDefault="00F61F59" w:rsidP="003876FA">
      <w:pPr>
        <w:ind w:left="567"/>
        <w:rPr>
          <w:rFonts w:ascii="Times New Roman" w:hAnsi="Times New Roman" w:cs="Times New Roman"/>
          <w:sz w:val="24"/>
          <w:szCs w:val="24"/>
        </w:rPr>
      </w:pPr>
      <w:r>
        <w:rPr>
          <w:rFonts w:ascii="Times New Roman" w:hAnsi="Times New Roman" w:cs="Times New Roman"/>
          <w:sz w:val="24"/>
          <w:szCs w:val="24"/>
        </w:rPr>
        <w:t xml:space="preserve">A titre indicatif le barème de 2025 était  le suivant : </w:t>
      </w:r>
    </w:p>
    <w:p w14:paraId="711C63D7" w14:textId="5A433F34" w:rsidR="00055BD6" w:rsidRDefault="00060AE3" w:rsidP="00055BD6">
      <w:r w:rsidRPr="00060AE3">
        <w:rPr>
          <w:noProof/>
        </w:rPr>
        <w:lastRenderedPageBreak/>
        <w:drawing>
          <wp:inline distT="0" distB="0" distL="0" distR="0" wp14:anchorId="60DC81A9" wp14:editId="50F1C5B4">
            <wp:extent cx="5760720" cy="3519805"/>
            <wp:effectExtent l="0" t="0" r="0" b="4445"/>
            <wp:docPr id="16298658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986580" name=""/>
                    <pic:cNvPicPr/>
                  </pic:nvPicPr>
                  <pic:blipFill>
                    <a:blip r:embed="rId7"/>
                    <a:stretch>
                      <a:fillRect/>
                    </a:stretch>
                  </pic:blipFill>
                  <pic:spPr>
                    <a:xfrm>
                      <a:off x="0" y="0"/>
                      <a:ext cx="5760720" cy="3519805"/>
                    </a:xfrm>
                    <a:prstGeom prst="rect">
                      <a:avLst/>
                    </a:prstGeom>
                  </pic:spPr>
                </pic:pic>
              </a:graphicData>
            </a:graphic>
          </wp:inline>
        </w:drawing>
      </w:r>
    </w:p>
    <w:p w14:paraId="29DBCB0D" w14:textId="77777777" w:rsidR="005A7249" w:rsidRPr="00914435" w:rsidRDefault="005A7249" w:rsidP="003876FA">
      <w:pPr>
        <w:ind w:left="567"/>
        <w:rPr>
          <w:rFonts w:ascii="Times New Roman" w:hAnsi="Times New Roman" w:cs="Times New Roman"/>
          <w:sz w:val="24"/>
          <w:szCs w:val="24"/>
        </w:rPr>
      </w:pPr>
    </w:p>
    <w:p w14:paraId="0221D802" w14:textId="77777777" w:rsidR="001E1861" w:rsidRPr="00914435" w:rsidRDefault="001E1861" w:rsidP="003876FA">
      <w:pPr>
        <w:ind w:left="567"/>
        <w:rPr>
          <w:rFonts w:ascii="Times New Roman" w:hAnsi="Times New Roman" w:cs="Times New Roman"/>
          <w:sz w:val="24"/>
          <w:szCs w:val="24"/>
        </w:rPr>
      </w:pPr>
    </w:p>
    <w:p w14:paraId="39DDF7C5" w14:textId="3C4560C3" w:rsidR="00B27513" w:rsidRPr="00B27513" w:rsidRDefault="00B27513" w:rsidP="003876FA">
      <w:pPr>
        <w:ind w:left="567"/>
        <w:rPr>
          <w:rFonts w:ascii="Times New Roman" w:hAnsi="Times New Roman" w:cs="Times New Roman"/>
          <w:sz w:val="24"/>
          <w:szCs w:val="24"/>
        </w:rPr>
      </w:pPr>
      <w:r w:rsidRPr="00B27513">
        <w:rPr>
          <w:rFonts w:ascii="Times New Roman" w:hAnsi="Times New Roman" w:cs="Times New Roman"/>
          <w:sz w:val="24"/>
          <w:szCs w:val="24"/>
        </w:rPr>
        <w:br w:type="page"/>
      </w:r>
    </w:p>
    <w:p w14:paraId="2EC124AF" w14:textId="77777777" w:rsidR="00FF4E99" w:rsidRDefault="00FF4E99" w:rsidP="003876FA">
      <w:pPr>
        <w:pStyle w:val="NormalWeb"/>
        <w:ind w:left="567"/>
        <w:jc w:val="both"/>
      </w:pPr>
      <w:r>
        <w:lastRenderedPageBreak/>
        <w:t xml:space="preserve">Quelques précisions. </w:t>
      </w:r>
    </w:p>
    <w:p w14:paraId="7D03FDF0" w14:textId="77777777" w:rsidR="00FF4E99" w:rsidRDefault="00FF4E99" w:rsidP="003876FA">
      <w:pPr>
        <w:pStyle w:val="NormalWeb"/>
        <w:ind w:left="567"/>
        <w:jc w:val="both"/>
      </w:pPr>
    </w:p>
    <w:p w14:paraId="4AF2A235" w14:textId="731B0C78" w:rsidR="00846868" w:rsidRDefault="00DE05B0" w:rsidP="003876FA">
      <w:pPr>
        <w:pStyle w:val="NormalWeb"/>
        <w:numPr>
          <w:ilvl w:val="0"/>
          <w:numId w:val="1"/>
        </w:numPr>
        <w:ind w:left="567"/>
        <w:jc w:val="both"/>
      </w:pPr>
      <w:r>
        <w:t>Lorsque les deux conjoints travaillent dans la même entreprise et occupent un même logement, si le contrat de travail est muet sur ce point, la moitié de la valeur de l'avantage en nature s'ajoute à la rémunération de chacun des conjoints.</w:t>
      </w:r>
    </w:p>
    <w:p w14:paraId="69C513F1" w14:textId="77777777" w:rsidR="00FF4E99" w:rsidRDefault="00FF4E99" w:rsidP="003876FA">
      <w:pPr>
        <w:pStyle w:val="NormalWeb"/>
        <w:ind w:left="567"/>
        <w:jc w:val="both"/>
      </w:pPr>
    </w:p>
    <w:p w14:paraId="5F73C61D" w14:textId="78EA9C99" w:rsidR="00FF4E99" w:rsidRDefault="00FF4E99" w:rsidP="003876FA">
      <w:pPr>
        <w:pStyle w:val="NormalWeb"/>
        <w:numPr>
          <w:ilvl w:val="0"/>
          <w:numId w:val="1"/>
        </w:numPr>
        <w:ind w:left="567"/>
        <w:jc w:val="both"/>
      </w:pPr>
      <w:r>
        <w:t>En cas d'application du barème forfaitaire, la valeur de l'avantage en nature dépend de la rémunération du salarié non compris les autres avantages en nature</w:t>
      </w:r>
    </w:p>
    <w:p w14:paraId="4A2DB8E3" w14:textId="77777777" w:rsidR="00FF4E99" w:rsidRDefault="00FF4E99" w:rsidP="003876FA">
      <w:pPr>
        <w:pStyle w:val="Paragraphedeliste"/>
        <w:ind w:left="567"/>
      </w:pPr>
    </w:p>
    <w:p w14:paraId="0144F05F" w14:textId="3C47100E" w:rsidR="00FF4E99" w:rsidRDefault="00FF4E99" w:rsidP="003876FA">
      <w:pPr>
        <w:pStyle w:val="NormalWeb"/>
        <w:numPr>
          <w:ilvl w:val="0"/>
          <w:numId w:val="1"/>
        </w:numPr>
        <w:ind w:left="567"/>
        <w:jc w:val="both"/>
      </w:pPr>
      <w:r>
        <w:t>En cas de rémunération variable, Il n'est pas possible d'apprécier annuellement la rémunération du salarié sur la base d'une moyenne mensuelle régularisée en fin d'année</w:t>
      </w:r>
    </w:p>
    <w:p w14:paraId="01BBDECC" w14:textId="77777777" w:rsidR="00FF4E99" w:rsidRDefault="00FF4E99" w:rsidP="003876FA">
      <w:pPr>
        <w:pStyle w:val="Paragraphedeliste"/>
        <w:ind w:left="567"/>
      </w:pPr>
    </w:p>
    <w:p w14:paraId="4095A3A1" w14:textId="77777777" w:rsidR="00FF4E99" w:rsidRPr="00B27513" w:rsidRDefault="00FF4E99" w:rsidP="003876FA">
      <w:pPr>
        <w:pStyle w:val="NormalWeb"/>
        <w:ind w:left="567"/>
        <w:jc w:val="both"/>
      </w:pPr>
    </w:p>
    <w:sectPr w:rsidR="00FF4E99" w:rsidRPr="00B275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tarSymbol">
    <w:altName w:val="Segoe UI Symbol"/>
    <w:charset w:val="02"/>
    <w:family w:val="auto"/>
    <w:pitch w:val="variable"/>
  </w:font>
  <w:font w:name="OpenSymbol">
    <w:charset w:val="00"/>
    <w:family w:val="auto"/>
    <w:pitch w:val="variable"/>
    <w:sig w:usb0="800000AF" w:usb1="1001ECEA" w:usb2="00000000" w:usb3="00000000" w:csb0="8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9649C0"/>
    <w:multiLevelType w:val="hybridMultilevel"/>
    <w:tmpl w:val="406E19F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C554222"/>
    <w:multiLevelType w:val="hybridMultilevel"/>
    <w:tmpl w:val="FBEC3E3E"/>
    <w:lvl w:ilvl="0" w:tplc="B4023014">
      <w:start w:val="1"/>
      <w:numFmt w:val="upperLetter"/>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 w15:restartNumberingAfterBreak="0">
    <w:nsid w:val="44E07637"/>
    <w:multiLevelType w:val="multilevel"/>
    <w:tmpl w:val="B90443D4"/>
    <w:lvl w:ilvl="0">
      <w:numFmt w:val="bullet"/>
      <w:lvlText w:val="•"/>
      <w:lvlJc w:val="left"/>
      <w:pPr>
        <w:ind w:left="1080" w:hanging="360"/>
      </w:pPr>
      <w:rPr>
        <w:rFonts w:ascii="StarSymbol" w:eastAsia="OpenSymbol" w:hAnsi="StarSymbol" w:cs="OpenSymbol"/>
      </w:rPr>
    </w:lvl>
    <w:lvl w:ilvl="1">
      <w:numFmt w:val="bullet"/>
      <w:lvlText w:val="•"/>
      <w:lvlJc w:val="left"/>
      <w:pPr>
        <w:ind w:left="1440" w:hanging="360"/>
      </w:pPr>
      <w:rPr>
        <w:rFonts w:ascii="StarSymbol" w:eastAsia="OpenSymbol" w:hAnsi="StarSymbol" w:cs="OpenSymbol"/>
      </w:rPr>
    </w:lvl>
    <w:lvl w:ilvl="2">
      <w:numFmt w:val="bullet"/>
      <w:lvlText w:val="•"/>
      <w:lvlJc w:val="left"/>
      <w:pPr>
        <w:ind w:left="1800" w:hanging="360"/>
      </w:pPr>
      <w:rPr>
        <w:rFonts w:ascii="StarSymbol" w:eastAsia="OpenSymbol" w:hAnsi="StarSymbol" w:cs="OpenSymbol"/>
      </w:rPr>
    </w:lvl>
    <w:lvl w:ilvl="3">
      <w:numFmt w:val="bullet"/>
      <w:lvlText w:val="•"/>
      <w:lvlJc w:val="left"/>
      <w:pPr>
        <w:ind w:left="2160" w:hanging="360"/>
      </w:pPr>
      <w:rPr>
        <w:rFonts w:ascii="StarSymbol" w:eastAsia="OpenSymbol" w:hAnsi="StarSymbol" w:cs="OpenSymbol"/>
      </w:rPr>
    </w:lvl>
    <w:lvl w:ilvl="4">
      <w:numFmt w:val="bullet"/>
      <w:lvlText w:val="•"/>
      <w:lvlJc w:val="left"/>
      <w:pPr>
        <w:ind w:left="2520" w:hanging="360"/>
      </w:pPr>
      <w:rPr>
        <w:rFonts w:ascii="StarSymbol" w:eastAsia="OpenSymbol" w:hAnsi="StarSymbol" w:cs="OpenSymbol"/>
      </w:rPr>
    </w:lvl>
    <w:lvl w:ilvl="5">
      <w:numFmt w:val="bullet"/>
      <w:lvlText w:val="•"/>
      <w:lvlJc w:val="left"/>
      <w:pPr>
        <w:ind w:left="2880" w:hanging="360"/>
      </w:pPr>
      <w:rPr>
        <w:rFonts w:ascii="StarSymbol" w:eastAsia="OpenSymbol" w:hAnsi="StarSymbol" w:cs="OpenSymbol"/>
      </w:rPr>
    </w:lvl>
    <w:lvl w:ilvl="6">
      <w:numFmt w:val="bullet"/>
      <w:lvlText w:val="•"/>
      <w:lvlJc w:val="left"/>
      <w:pPr>
        <w:ind w:left="3240" w:hanging="360"/>
      </w:pPr>
      <w:rPr>
        <w:rFonts w:ascii="StarSymbol" w:eastAsia="OpenSymbol" w:hAnsi="StarSymbol" w:cs="OpenSymbol"/>
      </w:rPr>
    </w:lvl>
    <w:lvl w:ilvl="7">
      <w:numFmt w:val="bullet"/>
      <w:lvlText w:val="•"/>
      <w:lvlJc w:val="left"/>
      <w:pPr>
        <w:ind w:left="3600" w:hanging="360"/>
      </w:pPr>
      <w:rPr>
        <w:rFonts w:ascii="StarSymbol" w:eastAsia="OpenSymbol" w:hAnsi="StarSymbol" w:cs="OpenSymbol"/>
      </w:rPr>
    </w:lvl>
    <w:lvl w:ilvl="8">
      <w:numFmt w:val="bullet"/>
      <w:lvlText w:val="•"/>
      <w:lvlJc w:val="left"/>
      <w:pPr>
        <w:ind w:left="3960" w:hanging="360"/>
      </w:pPr>
      <w:rPr>
        <w:rFonts w:ascii="StarSymbol" w:eastAsia="OpenSymbol" w:hAnsi="StarSymbol" w:cs="OpenSymbol"/>
      </w:rPr>
    </w:lvl>
  </w:abstractNum>
  <w:abstractNum w:abstractNumId="3" w15:restartNumberingAfterBreak="0">
    <w:nsid w:val="4C9D6663"/>
    <w:multiLevelType w:val="hybridMultilevel"/>
    <w:tmpl w:val="3D42809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5E1643E7"/>
    <w:multiLevelType w:val="hybridMultilevel"/>
    <w:tmpl w:val="A6B02398"/>
    <w:lvl w:ilvl="0" w:tplc="7DC6BA5A">
      <w:start w:val="1"/>
      <w:numFmt w:val="bullet"/>
      <w:lvlText w:val=""/>
      <w:lvlJc w:val="left"/>
      <w:pPr>
        <w:ind w:left="1287" w:hanging="360"/>
      </w:pPr>
      <w:rPr>
        <w:rFonts w:ascii="Symbol" w:eastAsiaTheme="minorHAnsi" w:hAnsi="Symbol"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7DE336A4"/>
    <w:multiLevelType w:val="hybridMultilevel"/>
    <w:tmpl w:val="2BE0A236"/>
    <w:lvl w:ilvl="0" w:tplc="A91C2F68">
      <w:start w:val="1"/>
      <w:numFmt w:val="bullet"/>
      <w:lvlText w:val=""/>
      <w:lvlJc w:val="left"/>
      <w:pPr>
        <w:ind w:left="1068" w:hanging="360"/>
      </w:pPr>
      <w:rPr>
        <w:rFonts w:ascii="Symbol" w:eastAsiaTheme="minorHAnsi" w:hAnsi="Symbol" w:cs="Times New Roman"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16cid:durableId="196628422">
    <w:abstractNumId w:val="3"/>
  </w:num>
  <w:num w:numId="2" w16cid:durableId="1875773481">
    <w:abstractNumId w:val="2"/>
  </w:num>
  <w:num w:numId="3" w16cid:durableId="1756627511">
    <w:abstractNumId w:val="0"/>
  </w:num>
  <w:num w:numId="4" w16cid:durableId="574240116">
    <w:abstractNumId w:val="1"/>
  </w:num>
  <w:num w:numId="5" w16cid:durableId="370227462">
    <w:abstractNumId w:val="5"/>
  </w:num>
  <w:num w:numId="6" w16cid:durableId="3278337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868"/>
    <w:rsid w:val="00055BD6"/>
    <w:rsid w:val="00060AE3"/>
    <w:rsid w:val="000D33DB"/>
    <w:rsid w:val="001E1861"/>
    <w:rsid w:val="002135EF"/>
    <w:rsid w:val="002A3CC8"/>
    <w:rsid w:val="00383310"/>
    <w:rsid w:val="003876FA"/>
    <w:rsid w:val="004C304C"/>
    <w:rsid w:val="005A7249"/>
    <w:rsid w:val="0064241D"/>
    <w:rsid w:val="00723152"/>
    <w:rsid w:val="00846868"/>
    <w:rsid w:val="00914435"/>
    <w:rsid w:val="00A31020"/>
    <w:rsid w:val="00A56F4B"/>
    <w:rsid w:val="00A574C6"/>
    <w:rsid w:val="00B27513"/>
    <w:rsid w:val="00BA023F"/>
    <w:rsid w:val="00BC0F8A"/>
    <w:rsid w:val="00BE03A1"/>
    <w:rsid w:val="00C04F79"/>
    <w:rsid w:val="00DE05B0"/>
    <w:rsid w:val="00F61F59"/>
    <w:rsid w:val="00FF4E9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D57CC"/>
  <w15:chartTrackingRefBased/>
  <w15:docId w15:val="{DD450B29-EFE6-48E7-8569-558F17F07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rsid w:val="00DE05B0"/>
    <w:pPr>
      <w:suppressAutoHyphens/>
      <w:autoSpaceDN w:val="0"/>
      <w:spacing w:before="28" w:after="28" w:line="240" w:lineRule="auto"/>
      <w:textAlignment w:val="baseline"/>
    </w:pPr>
    <w:rPr>
      <w:rFonts w:ascii="Times New Roman" w:eastAsia="Times New Roman" w:hAnsi="Times New Roman" w:cs="Times New Roman"/>
      <w:kern w:val="3"/>
      <w:sz w:val="24"/>
      <w:szCs w:val="24"/>
      <w:lang w:eastAsia="fr-FR"/>
    </w:rPr>
  </w:style>
  <w:style w:type="paragraph" w:styleId="Paragraphedeliste">
    <w:name w:val="List Paragraph"/>
    <w:basedOn w:val="Normal"/>
    <w:uiPriority w:val="34"/>
    <w:qFormat/>
    <w:rsid w:val="00FF4E99"/>
    <w:pPr>
      <w:ind w:left="720"/>
      <w:contextualSpacing/>
    </w:pPr>
  </w:style>
  <w:style w:type="paragraph" w:customStyle="1" w:styleId="Standard">
    <w:name w:val="Standard"/>
    <w:rsid w:val="00A56F4B"/>
    <w:pPr>
      <w:suppressAutoHyphens/>
      <w:autoSpaceDN w:val="0"/>
      <w:spacing w:after="200" w:line="276" w:lineRule="auto"/>
      <w:textAlignment w:val="baseline"/>
    </w:pPr>
    <w:rPr>
      <w:rFonts w:ascii="Calibri" w:eastAsia="SimSun" w:hAnsi="Calibri" w:cs="Calibri"/>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540</Words>
  <Characters>2970</Characters>
  <Application>Microsoft Office Word</Application>
  <DocSecurity>0</DocSecurity>
  <Lines>24</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LE CHEVANTON</dc:creator>
  <cp:keywords/>
  <dc:description/>
  <cp:lastModifiedBy>jacques LE CHEVANTON</cp:lastModifiedBy>
  <cp:revision>6</cp:revision>
  <dcterms:created xsi:type="dcterms:W3CDTF">2025-05-06T03:38:00Z</dcterms:created>
  <dcterms:modified xsi:type="dcterms:W3CDTF">2026-02-03T02:36:00Z</dcterms:modified>
</cp:coreProperties>
</file>